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4"/>
        <w:gridCol w:w="8475"/>
      </w:tblGrid>
      <w:tr w:rsidR="00A7017C" w:rsidTr="00A7017C">
        <w:tc>
          <w:tcPr>
            <w:tcW w:w="817" w:type="dxa"/>
          </w:tcPr>
          <w:p w:rsidR="00A7017C" w:rsidRPr="005527C3" w:rsidRDefault="00A7017C" w:rsidP="00A7017C">
            <w:pPr>
              <w:rPr>
                <w:b/>
                <w:bCs/>
              </w:rPr>
            </w:pPr>
            <w:r w:rsidRPr="005527C3">
              <w:rPr>
                <w:b/>
                <w:bCs/>
              </w:rPr>
              <w:t>TO</w:t>
            </w:r>
          </w:p>
        </w:tc>
        <w:tc>
          <w:tcPr>
            <w:tcW w:w="284" w:type="dxa"/>
          </w:tcPr>
          <w:p w:rsidR="00A7017C" w:rsidRPr="005527C3" w:rsidRDefault="00A7017C" w:rsidP="00A7017C">
            <w:pPr>
              <w:rPr>
                <w:b/>
                <w:bCs/>
              </w:rPr>
            </w:pPr>
            <w:r w:rsidRPr="005527C3">
              <w:rPr>
                <w:b/>
                <w:bCs/>
              </w:rPr>
              <w:t>:</w:t>
            </w:r>
          </w:p>
        </w:tc>
        <w:tc>
          <w:tcPr>
            <w:tcW w:w="8475" w:type="dxa"/>
          </w:tcPr>
          <w:p w:rsidR="00A7017C" w:rsidRPr="005527C3" w:rsidRDefault="00A7017C" w:rsidP="00306762">
            <w:pPr>
              <w:spacing w:line="276" w:lineRule="auto"/>
              <w:rPr>
                <w:b/>
                <w:bCs/>
              </w:rPr>
            </w:pPr>
            <w:r w:rsidRPr="005527C3">
              <w:t>The Board of Directors of Ornge (the "Board")</w:t>
            </w:r>
          </w:p>
        </w:tc>
      </w:tr>
      <w:tr w:rsidR="00A7017C" w:rsidTr="00A7017C">
        <w:tc>
          <w:tcPr>
            <w:tcW w:w="817" w:type="dxa"/>
          </w:tcPr>
          <w:p w:rsidR="00A7017C" w:rsidRPr="005527C3" w:rsidRDefault="00A7017C" w:rsidP="00A7017C">
            <w:pPr>
              <w:rPr>
                <w:b/>
                <w:bCs/>
              </w:rPr>
            </w:pPr>
            <w:r w:rsidRPr="005527C3">
              <w:rPr>
                <w:b/>
                <w:bCs/>
              </w:rPr>
              <w:t>FROM</w:t>
            </w:r>
          </w:p>
        </w:tc>
        <w:tc>
          <w:tcPr>
            <w:tcW w:w="284" w:type="dxa"/>
          </w:tcPr>
          <w:p w:rsidR="00A7017C" w:rsidRPr="005527C3" w:rsidRDefault="00A7017C" w:rsidP="00A7017C">
            <w:pPr>
              <w:rPr>
                <w:b/>
                <w:bCs/>
              </w:rPr>
            </w:pPr>
            <w:r w:rsidRPr="005527C3">
              <w:rPr>
                <w:b/>
                <w:bCs/>
              </w:rPr>
              <w:t>:</w:t>
            </w:r>
          </w:p>
        </w:tc>
        <w:tc>
          <w:tcPr>
            <w:tcW w:w="8475" w:type="dxa"/>
          </w:tcPr>
          <w:p w:rsidR="00A7017C" w:rsidRPr="005527C3" w:rsidRDefault="00A7017C" w:rsidP="00A7017C">
            <w:pPr>
              <w:rPr>
                <w:bCs/>
              </w:rPr>
            </w:pPr>
            <w:r w:rsidRPr="005527C3">
              <w:rPr>
                <w:bCs/>
              </w:rPr>
              <w:t>Dr. Andrew McCallum</w:t>
            </w:r>
            <w:r w:rsidRPr="005527C3">
              <w:rPr>
                <w:bCs/>
              </w:rPr>
              <w:br/>
              <w:t>Chief Executive Officer</w:t>
            </w:r>
            <w:r w:rsidRPr="005527C3">
              <w:rPr>
                <w:bCs/>
              </w:rPr>
              <w:br/>
              <w:t>Ornge</w:t>
            </w:r>
          </w:p>
        </w:tc>
      </w:tr>
      <w:tr w:rsidR="00A7017C" w:rsidTr="00A7017C">
        <w:tc>
          <w:tcPr>
            <w:tcW w:w="817" w:type="dxa"/>
          </w:tcPr>
          <w:p w:rsidR="00A7017C" w:rsidRPr="005527C3" w:rsidRDefault="00A7017C" w:rsidP="00A7017C">
            <w:pPr>
              <w:rPr>
                <w:b/>
                <w:bCs/>
              </w:rPr>
            </w:pPr>
            <w:r w:rsidRPr="005527C3">
              <w:rPr>
                <w:b/>
                <w:bCs/>
              </w:rPr>
              <w:t>DATE</w:t>
            </w:r>
          </w:p>
        </w:tc>
        <w:tc>
          <w:tcPr>
            <w:tcW w:w="284" w:type="dxa"/>
          </w:tcPr>
          <w:p w:rsidR="00A7017C" w:rsidRPr="005527C3" w:rsidRDefault="00A7017C" w:rsidP="00A7017C">
            <w:pPr>
              <w:rPr>
                <w:b/>
                <w:bCs/>
              </w:rPr>
            </w:pPr>
            <w:r w:rsidRPr="005527C3">
              <w:rPr>
                <w:b/>
                <w:bCs/>
              </w:rPr>
              <w:t>:</w:t>
            </w:r>
          </w:p>
        </w:tc>
        <w:tc>
          <w:tcPr>
            <w:tcW w:w="8475" w:type="dxa"/>
          </w:tcPr>
          <w:p w:rsidR="00A7017C" w:rsidRPr="005527C3" w:rsidRDefault="00290F47" w:rsidP="000A59F6">
            <w:pPr>
              <w:rPr>
                <w:bCs/>
              </w:rPr>
            </w:pPr>
            <w:r>
              <w:rPr>
                <w:bCs/>
              </w:rPr>
              <w:t xml:space="preserve">June </w:t>
            </w:r>
            <w:r w:rsidR="000A59F6">
              <w:rPr>
                <w:bCs/>
              </w:rPr>
              <w:t>28</w:t>
            </w:r>
            <w:r w:rsidR="000A59F6" w:rsidRPr="000A59F6">
              <w:rPr>
                <w:bCs/>
                <w:vertAlign w:val="superscript"/>
              </w:rPr>
              <w:t>th</w:t>
            </w:r>
            <w:r>
              <w:rPr>
                <w:bCs/>
              </w:rPr>
              <w:t>, 201</w:t>
            </w:r>
            <w:r w:rsidR="00614F17">
              <w:rPr>
                <w:bCs/>
              </w:rPr>
              <w:t>7</w:t>
            </w:r>
          </w:p>
        </w:tc>
      </w:tr>
      <w:tr w:rsidR="00A7017C" w:rsidTr="00A7017C">
        <w:tc>
          <w:tcPr>
            <w:tcW w:w="817" w:type="dxa"/>
          </w:tcPr>
          <w:p w:rsidR="00A7017C" w:rsidRPr="005527C3" w:rsidRDefault="00A7017C" w:rsidP="00A7017C">
            <w:pPr>
              <w:rPr>
                <w:b/>
                <w:bCs/>
              </w:rPr>
            </w:pPr>
            <w:r w:rsidRPr="005527C3">
              <w:rPr>
                <w:b/>
                <w:bCs/>
              </w:rPr>
              <w:t>RE</w:t>
            </w:r>
          </w:p>
        </w:tc>
        <w:tc>
          <w:tcPr>
            <w:tcW w:w="284" w:type="dxa"/>
          </w:tcPr>
          <w:p w:rsidR="00A7017C" w:rsidRPr="005527C3" w:rsidRDefault="00A7017C" w:rsidP="00A7017C">
            <w:pPr>
              <w:rPr>
                <w:b/>
                <w:bCs/>
              </w:rPr>
            </w:pPr>
            <w:r w:rsidRPr="005527C3">
              <w:rPr>
                <w:b/>
                <w:bCs/>
              </w:rPr>
              <w:t>:</w:t>
            </w:r>
          </w:p>
        </w:tc>
        <w:tc>
          <w:tcPr>
            <w:tcW w:w="8475" w:type="dxa"/>
          </w:tcPr>
          <w:p w:rsidR="00A7017C" w:rsidRPr="005527C3" w:rsidRDefault="00A7017C" w:rsidP="00614F17">
            <w:pPr>
              <w:rPr>
                <w:bCs/>
              </w:rPr>
            </w:pPr>
            <w:r w:rsidRPr="005527C3">
              <w:rPr>
                <w:bCs/>
              </w:rPr>
              <w:t>April 1, 201</w:t>
            </w:r>
            <w:r w:rsidR="00614F17">
              <w:rPr>
                <w:bCs/>
              </w:rPr>
              <w:t>6</w:t>
            </w:r>
            <w:r w:rsidRPr="005527C3">
              <w:rPr>
                <w:bCs/>
              </w:rPr>
              <w:t xml:space="preserve"> – March 31, 201</w:t>
            </w:r>
            <w:r w:rsidR="00614F17">
              <w:rPr>
                <w:bCs/>
              </w:rPr>
              <w:t>7</w:t>
            </w:r>
            <w:r w:rsidRPr="005527C3">
              <w:rPr>
                <w:bCs/>
              </w:rPr>
              <w:t xml:space="preserve"> (the “Applicable Period”)</w:t>
            </w:r>
          </w:p>
        </w:tc>
      </w:tr>
    </w:tbl>
    <w:p w:rsidR="00A7017C" w:rsidRPr="00A7017C" w:rsidRDefault="00A7017C" w:rsidP="005527C3">
      <w:pPr>
        <w:spacing w:before="120"/>
      </w:pPr>
      <w:r w:rsidRPr="00A7017C">
        <w:t xml:space="preserve">On behalf of </w:t>
      </w:r>
      <w:proofErr w:type="spellStart"/>
      <w:r w:rsidRPr="00A7017C">
        <w:t>Ornge</w:t>
      </w:r>
      <w:proofErr w:type="spellEnd"/>
      <w:r w:rsidRPr="00A7017C">
        <w:t>, I attest to:</w:t>
      </w:r>
    </w:p>
    <w:p w:rsidR="00A7017C" w:rsidRDefault="00A7017C" w:rsidP="00A7017C">
      <w:pPr>
        <w:pStyle w:val="ListParagraph"/>
        <w:numPr>
          <w:ilvl w:val="0"/>
          <w:numId w:val="1"/>
        </w:numPr>
      </w:pPr>
      <w:r w:rsidRPr="00A7017C">
        <w:t>The completion and accuracy of Ornge's reports on the use of consultants as</w:t>
      </w:r>
      <w:r>
        <w:t xml:space="preserve"> </w:t>
      </w:r>
      <w:r w:rsidRPr="00A7017C">
        <w:t>defined in the BPSAA</w:t>
      </w:r>
      <w:r>
        <w:t xml:space="preserve"> </w:t>
      </w:r>
    </w:p>
    <w:p w:rsidR="00A7017C" w:rsidRDefault="00A7017C" w:rsidP="00A7017C">
      <w:pPr>
        <w:pStyle w:val="ListParagraph"/>
        <w:numPr>
          <w:ilvl w:val="0"/>
          <w:numId w:val="1"/>
        </w:numPr>
      </w:pPr>
      <w:proofErr w:type="spellStart"/>
      <w:r w:rsidRPr="00A7017C">
        <w:t>Ornge's</w:t>
      </w:r>
      <w:proofErr w:type="spellEnd"/>
      <w:r w:rsidRPr="00A7017C">
        <w:t xml:space="preserve"> compliance with the prohibition in section 4 of the BPSAA on engaging</w:t>
      </w:r>
      <w:r>
        <w:t xml:space="preserve"> </w:t>
      </w:r>
      <w:r w:rsidRPr="00A7017C">
        <w:t>lobbyist services using public funds</w:t>
      </w:r>
      <w:r>
        <w:t xml:space="preserve"> </w:t>
      </w:r>
    </w:p>
    <w:p w:rsidR="00A7017C" w:rsidRDefault="00A7017C" w:rsidP="00A7017C">
      <w:pPr>
        <w:pStyle w:val="ListParagraph"/>
        <w:numPr>
          <w:ilvl w:val="0"/>
          <w:numId w:val="1"/>
        </w:numPr>
      </w:pPr>
      <w:r w:rsidRPr="00A7017C">
        <w:t xml:space="preserve">Ornge's compliance with the expense claims directive issued under section </w:t>
      </w:r>
      <w:r>
        <w:t>10</w:t>
      </w:r>
      <w:r w:rsidRPr="00A7017C">
        <w:t xml:space="preserve"> of</w:t>
      </w:r>
      <w:r>
        <w:t xml:space="preserve"> </w:t>
      </w:r>
      <w:r w:rsidRPr="00A7017C">
        <w:t>the BPSAA by the Management Board of Cabinet</w:t>
      </w:r>
    </w:p>
    <w:p w:rsidR="00A7017C" w:rsidRDefault="00A7017C" w:rsidP="00A7017C">
      <w:pPr>
        <w:pStyle w:val="ListParagraph"/>
        <w:numPr>
          <w:ilvl w:val="0"/>
          <w:numId w:val="1"/>
        </w:numPr>
      </w:pPr>
      <w:r w:rsidRPr="00A7017C">
        <w:t>Ornge's compliance with the perquisites directive issued under section 11.1 of</w:t>
      </w:r>
      <w:r>
        <w:t xml:space="preserve"> </w:t>
      </w:r>
      <w:r w:rsidRPr="00A7017C">
        <w:t>the BPSAA by the Management Board of Cabinet</w:t>
      </w:r>
      <w:r>
        <w:t xml:space="preserve"> </w:t>
      </w:r>
    </w:p>
    <w:p w:rsidR="00A7017C" w:rsidRPr="00A7017C" w:rsidRDefault="00A7017C" w:rsidP="00A7017C">
      <w:pPr>
        <w:pStyle w:val="ListParagraph"/>
        <w:numPr>
          <w:ilvl w:val="0"/>
          <w:numId w:val="1"/>
        </w:numPr>
      </w:pPr>
      <w:r w:rsidRPr="00A7017C">
        <w:t>Ornge's compliance with the procurement directive issued under section 12 of</w:t>
      </w:r>
      <w:r>
        <w:t xml:space="preserve"> </w:t>
      </w:r>
      <w:r w:rsidRPr="00A7017C">
        <w:t>the BPSAA by the Management Board of Cabinet</w:t>
      </w:r>
    </w:p>
    <w:p w:rsidR="00A7017C" w:rsidRPr="00A7017C" w:rsidRDefault="00A7017C" w:rsidP="00A7017C">
      <w:r w:rsidRPr="00A7017C">
        <w:t>during the Applicable Period.</w:t>
      </w:r>
    </w:p>
    <w:p w:rsidR="00A7017C" w:rsidRPr="00A7017C" w:rsidRDefault="00A7017C" w:rsidP="00A7017C">
      <w:r w:rsidRPr="00A7017C">
        <w:t>In making this attestation, I have exercised the care and diligence that would reasonably</w:t>
      </w:r>
      <w:r>
        <w:t xml:space="preserve"> </w:t>
      </w:r>
      <w:r w:rsidRPr="00A7017C">
        <w:t>be expected of a Chief Executive Officer in these circumstances, including making due</w:t>
      </w:r>
      <w:r>
        <w:t xml:space="preserve"> </w:t>
      </w:r>
      <w:r w:rsidRPr="00A7017C">
        <w:t>inquiries of Ornge staff that have knowledge of these matters.</w:t>
      </w:r>
    </w:p>
    <w:p w:rsidR="00A7017C" w:rsidRPr="00A7017C" w:rsidRDefault="00A7017C" w:rsidP="00A7017C">
      <w:r w:rsidRPr="00A7017C">
        <w:t>I further certify that any material exceptions to this attestation are documented in the</w:t>
      </w:r>
      <w:r>
        <w:t xml:space="preserve"> </w:t>
      </w:r>
      <w:r w:rsidRPr="00A7017C">
        <w:t>attached Attestation Schedule.</w:t>
      </w:r>
    </w:p>
    <w:p w:rsidR="00A7017C" w:rsidRPr="00A7017C" w:rsidRDefault="004F036F" w:rsidP="00A7017C">
      <w:r w:rsidRPr="004F036F">
        <w:rPr>
          <w:b/>
          <w:bCs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CBFD648" wp14:editId="468C7926">
            <wp:simplePos x="0" y="0"/>
            <wp:positionH relativeFrom="column">
              <wp:posOffset>-25400</wp:posOffset>
            </wp:positionH>
            <wp:positionV relativeFrom="paragraph">
              <wp:posOffset>231140</wp:posOffset>
            </wp:positionV>
            <wp:extent cx="1438275" cy="457200"/>
            <wp:effectExtent l="0" t="0" r="9525" b="0"/>
            <wp:wrapNone/>
            <wp:docPr id="1" name="Picture 1" descr="N:\Graphic Design\SIGNA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Graphic Design\SIGNATUR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48" t="24479" r="10915" b="50528"/>
                    <a:stretch/>
                  </pic:blipFill>
                  <pic:spPr bwMode="auto"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17C" w:rsidRPr="00A7017C">
        <w:t xml:space="preserve">Dated at Toronto, Ontario this </w:t>
      </w:r>
      <w:r w:rsidR="000A59F6">
        <w:t>28</w:t>
      </w:r>
      <w:r w:rsidR="000A59F6" w:rsidRPr="000A59F6">
        <w:rPr>
          <w:vertAlign w:val="superscript"/>
        </w:rPr>
        <w:t>th</w:t>
      </w:r>
      <w:r w:rsidR="000A59F6">
        <w:t xml:space="preserve"> </w:t>
      </w:r>
      <w:proofErr w:type="gramStart"/>
      <w:r w:rsidR="00290F47">
        <w:t>day</w:t>
      </w:r>
      <w:r w:rsidR="000A59F6">
        <w:t xml:space="preserve"> </w:t>
      </w:r>
      <w:r w:rsidR="00290F47">
        <w:t xml:space="preserve"> of</w:t>
      </w:r>
      <w:proofErr w:type="gramEnd"/>
      <w:r w:rsidR="00290F47">
        <w:t xml:space="preserve"> June, 201</w:t>
      </w:r>
      <w:r w:rsidR="000A59F6">
        <w:t>7</w:t>
      </w:r>
      <w:r w:rsidR="00290F4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06762" w:rsidTr="005527C3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762" w:rsidRDefault="00306762" w:rsidP="00A7017C"/>
          <w:p w:rsidR="00306762" w:rsidRDefault="00306762" w:rsidP="00A7017C"/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06762" w:rsidRDefault="00306762" w:rsidP="00A7017C"/>
        </w:tc>
      </w:tr>
      <w:tr w:rsidR="00EA1EE8" w:rsidTr="005527C3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EE8" w:rsidRDefault="00EA1EE8" w:rsidP="00A7017C">
            <w:r>
              <w:t>Dr. Andrew McCallum</w:t>
            </w:r>
            <w:r>
              <w:br/>
              <w:t>Chief Executive Officer</w:t>
            </w:r>
            <w:r>
              <w:br/>
              <w:t>Ornge</w:t>
            </w:r>
          </w:p>
        </w:tc>
      </w:tr>
    </w:tbl>
    <w:p w:rsidR="00EA1EE8" w:rsidRDefault="00EA1EE8" w:rsidP="00A7017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E73F6" w:rsidTr="005527C3">
        <w:tc>
          <w:tcPr>
            <w:tcW w:w="9576" w:type="dxa"/>
            <w:gridSpan w:val="2"/>
          </w:tcPr>
          <w:p w:rsidR="008E73F6" w:rsidRPr="00EF04F7" w:rsidRDefault="008E73F6" w:rsidP="008E73F6">
            <w:pPr>
              <w:autoSpaceDE w:val="0"/>
              <w:autoSpaceDN w:val="0"/>
              <w:adjustRightInd w:val="0"/>
              <w:rPr>
                <w:color w:val="1E2020"/>
                <w:szCs w:val="21"/>
              </w:rPr>
            </w:pPr>
            <w:r w:rsidRPr="00EF04F7">
              <w:rPr>
                <w:color w:val="0E1010"/>
                <w:szCs w:val="21"/>
              </w:rPr>
              <w:t xml:space="preserve">I </w:t>
            </w:r>
            <w:r w:rsidRPr="00EF04F7">
              <w:rPr>
                <w:color w:val="1E2020"/>
                <w:szCs w:val="21"/>
              </w:rPr>
              <w:t xml:space="preserve">certify that this attestation has been approved by the </w:t>
            </w:r>
            <w:r w:rsidRPr="00EF04F7">
              <w:rPr>
                <w:color w:val="0E1010"/>
                <w:szCs w:val="21"/>
              </w:rPr>
              <w:t>Boa</w:t>
            </w:r>
            <w:r w:rsidRPr="00EF04F7">
              <w:rPr>
                <w:color w:val="323435"/>
                <w:szCs w:val="21"/>
              </w:rPr>
              <w:t xml:space="preserve">rd of </w:t>
            </w:r>
            <w:r w:rsidRPr="00EF04F7">
              <w:rPr>
                <w:color w:val="1E2020"/>
                <w:szCs w:val="21"/>
              </w:rPr>
              <w:t xml:space="preserve">Directors </w:t>
            </w:r>
            <w:r w:rsidRPr="00EF04F7">
              <w:rPr>
                <w:color w:val="323435"/>
                <w:szCs w:val="21"/>
              </w:rPr>
              <w:t xml:space="preserve">of </w:t>
            </w:r>
            <w:r w:rsidRPr="00EF04F7">
              <w:rPr>
                <w:color w:val="1E2020"/>
                <w:szCs w:val="21"/>
              </w:rPr>
              <w:t>Ornge</w:t>
            </w:r>
          </w:p>
          <w:p w:rsidR="008E73F6" w:rsidRPr="000A59F6" w:rsidRDefault="008E73F6" w:rsidP="00290F47">
            <w:pPr>
              <w:rPr>
                <w:color w:val="1E2020"/>
                <w:szCs w:val="21"/>
              </w:rPr>
            </w:pPr>
            <w:proofErr w:type="gramStart"/>
            <w:r w:rsidRPr="00EF04F7">
              <w:rPr>
                <w:color w:val="1E2020"/>
                <w:szCs w:val="21"/>
              </w:rPr>
              <w:t>on</w:t>
            </w:r>
            <w:proofErr w:type="gramEnd"/>
            <w:r w:rsidRPr="00EF04F7">
              <w:rPr>
                <w:color w:val="1E2020"/>
                <w:szCs w:val="21"/>
              </w:rPr>
              <w:t xml:space="preserve"> </w:t>
            </w:r>
            <w:r w:rsidR="005527C3" w:rsidRPr="00EF04F7">
              <w:rPr>
                <w:color w:val="1E2020"/>
                <w:szCs w:val="21"/>
              </w:rPr>
              <w:t xml:space="preserve">this </w:t>
            </w:r>
            <w:r w:rsidR="000A59F6" w:rsidRPr="000A59F6">
              <w:rPr>
                <w:color w:val="1E2020"/>
                <w:szCs w:val="21"/>
              </w:rPr>
              <w:t>28</w:t>
            </w:r>
            <w:r w:rsidR="000A59F6" w:rsidRPr="000A59F6">
              <w:rPr>
                <w:color w:val="1E2020"/>
                <w:szCs w:val="21"/>
                <w:vertAlign w:val="superscript"/>
              </w:rPr>
              <w:t>th</w:t>
            </w:r>
            <w:r w:rsidR="000A59F6" w:rsidRPr="000A59F6">
              <w:rPr>
                <w:color w:val="1E2020"/>
                <w:szCs w:val="21"/>
              </w:rPr>
              <w:t xml:space="preserve"> day  of June, 2017</w:t>
            </w:r>
            <w:r w:rsidR="00290F47">
              <w:rPr>
                <w:color w:val="1E2020"/>
                <w:szCs w:val="21"/>
              </w:rPr>
              <w:t>.</w:t>
            </w:r>
          </w:p>
        </w:tc>
      </w:tr>
      <w:tr w:rsidR="005527C3" w:rsidTr="005527C3">
        <w:tc>
          <w:tcPr>
            <w:tcW w:w="4788" w:type="dxa"/>
            <w:tcBorders>
              <w:bottom w:val="single" w:sz="4" w:space="0" w:color="auto"/>
            </w:tcBorders>
          </w:tcPr>
          <w:p w:rsidR="005527C3" w:rsidRDefault="005527C3" w:rsidP="00A7017C"/>
          <w:p w:rsidR="00447DD0" w:rsidRDefault="004F036F" w:rsidP="00A7017C">
            <w:r w:rsidRPr="004F036F">
              <w:rPr>
                <w:b/>
                <w:bCs/>
                <w:noProof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4CAEB9E0" wp14:editId="661DA190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97155</wp:posOffset>
                  </wp:positionV>
                  <wp:extent cx="1057275" cy="285750"/>
                  <wp:effectExtent l="0" t="0" r="9525" b="0"/>
                  <wp:wrapNone/>
                  <wp:docPr id="2" name="Picture 2" descr="N:\Graphic Design\SIGNATU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Graphic Design\SIGNATUR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27" t="31193" r="63236" b="47544"/>
                          <a:stretch/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27C3" w:rsidRDefault="005527C3" w:rsidP="00A7017C"/>
        </w:tc>
        <w:tc>
          <w:tcPr>
            <w:tcW w:w="4788" w:type="dxa"/>
          </w:tcPr>
          <w:p w:rsidR="005527C3" w:rsidRDefault="005527C3" w:rsidP="00A7017C"/>
        </w:tc>
      </w:tr>
      <w:tr w:rsidR="008E73F6" w:rsidTr="005527C3">
        <w:tc>
          <w:tcPr>
            <w:tcW w:w="9576" w:type="dxa"/>
            <w:gridSpan w:val="2"/>
          </w:tcPr>
          <w:p w:rsidR="008E73F6" w:rsidRDefault="008E73F6" w:rsidP="00A7017C">
            <w:r>
              <w:t xml:space="preserve">Ian </w:t>
            </w:r>
            <w:r w:rsidR="00EF04F7">
              <w:t xml:space="preserve">W. </w:t>
            </w:r>
            <w:r>
              <w:t>Delaney</w:t>
            </w:r>
            <w:r>
              <w:br/>
              <w:t>Chair of the Board</w:t>
            </w:r>
            <w:r>
              <w:br/>
              <w:t>Ornge</w:t>
            </w:r>
          </w:p>
        </w:tc>
      </w:tr>
    </w:tbl>
    <w:p w:rsidR="005527C3" w:rsidRDefault="005527C3" w:rsidP="00A7017C">
      <w:pPr>
        <w:rPr>
          <w:b/>
          <w:bCs/>
        </w:rPr>
      </w:pPr>
    </w:p>
    <w:p w:rsidR="00A7017C" w:rsidRPr="00A7017C" w:rsidRDefault="00A7017C" w:rsidP="005527C3">
      <w:pPr>
        <w:jc w:val="center"/>
        <w:rPr>
          <w:b/>
          <w:bCs/>
        </w:rPr>
      </w:pPr>
      <w:r w:rsidRPr="00A7017C">
        <w:rPr>
          <w:b/>
          <w:bCs/>
        </w:rPr>
        <w:lastRenderedPageBreak/>
        <w:t>ATTESTATION SCHEDULE</w:t>
      </w:r>
    </w:p>
    <w:p w:rsidR="005527C3" w:rsidRDefault="00A7017C" w:rsidP="005527C3">
      <w:pPr>
        <w:pStyle w:val="ListParagraph"/>
        <w:numPr>
          <w:ilvl w:val="0"/>
          <w:numId w:val="2"/>
        </w:numPr>
        <w:spacing w:before="120" w:after="120"/>
        <w:ind w:left="284" w:hanging="284"/>
      </w:pPr>
      <w:r w:rsidRPr="00A7017C">
        <w:t>Exceptions to the completion and accuracy of reports on the use of consultants as</w:t>
      </w:r>
      <w:r w:rsidR="005527C3">
        <w:t xml:space="preserve"> </w:t>
      </w:r>
      <w:r w:rsidRPr="00A7017C">
        <w:t>defined in the BPSAA.</w:t>
      </w:r>
      <w:r w:rsidR="005527C3">
        <w:t xml:space="preserve">  </w:t>
      </w:r>
    </w:p>
    <w:p w:rsidR="005527C3" w:rsidRPr="005527C3" w:rsidRDefault="005527C3" w:rsidP="005527C3">
      <w:pPr>
        <w:pStyle w:val="ListParagraph"/>
        <w:spacing w:before="120" w:after="120"/>
        <w:ind w:left="284" w:firstLine="437"/>
        <w:rPr>
          <w:b/>
        </w:rPr>
      </w:pPr>
      <w:r w:rsidRPr="005527C3">
        <w:rPr>
          <w:b/>
        </w:rPr>
        <w:t xml:space="preserve">No known exceptions </w:t>
      </w:r>
    </w:p>
    <w:p w:rsidR="005527C3" w:rsidRPr="005527C3" w:rsidRDefault="005527C3" w:rsidP="005527C3">
      <w:pPr>
        <w:pStyle w:val="ListParagraph"/>
        <w:spacing w:before="120" w:after="120"/>
        <w:ind w:left="284" w:firstLine="437"/>
      </w:pPr>
    </w:p>
    <w:p w:rsidR="005527C3" w:rsidRDefault="00A7017C" w:rsidP="005527C3">
      <w:pPr>
        <w:pStyle w:val="ListParagraph"/>
        <w:numPr>
          <w:ilvl w:val="0"/>
          <w:numId w:val="2"/>
        </w:numPr>
        <w:spacing w:before="120" w:after="120"/>
        <w:ind w:left="284" w:hanging="284"/>
      </w:pPr>
      <w:r w:rsidRPr="00A7017C">
        <w:t>Exceptions to Ornge's compliance with the prohibition in section 4 of the BPSAA on</w:t>
      </w:r>
      <w:r w:rsidR="005527C3">
        <w:t xml:space="preserve"> </w:t>
      </w:r>
      <w:r w:rsidRPr="00A7017C">
        <w:t>engaging lobbyist services using public funds.</w:t>
      </w:r>
    </w:p>
    <w:p w:rsidR="005527C3" w:rsidRPr="005527C3" w:rsidRDefault="005527C3" w:rsidP="005527C3">
      <w:pPr>
        <w:pStyle w:val="ListParagraph"/>
        <w:spacing w:before="120" w:after="120"/>
        <w:ind w:left="284" w:firstLine="436"/>
        <w:rPr>
          <w:b/>
        </w:rPr>
      </w:pPr>
      <w:r w:rsidRPr="005527C3">
        <w:rPr>
          <w:b/>
        </w:rPr>
        <w:t>No known exceptions</w:t>
      </w:r>
    </w:p>
    <w:p w:rsidR="005527C3" w:rsidRDefault="005527C3" w:rsidP="005527C3">
      <w:pPr>
        <w:pStyle w:val="ListParagraph"/>
        <w:spacing w:before="120" w:after="120"/>
        <w:ind w:left="284" w:firstLine="436"/>
      </w:pPr>
    </w:p>
    <w:p w:rsidR="005527C3" w:rsidRDefault="00A7017C" w:rsidP="005527C3">
      <w:pPr>
        <w:pStyle w:val="ListParagraph"/>
        <w:numPr>
          <w:ilvl w:val="0"/>
          <w:numId w:val="2"/>
        </w:numPr>
        <w:spacing w:before="120" w:after="120"/>
        <w:ind w:left="284" w:hanging="284"/>
      </w:pPr>
      <w:r w:rsidRPr="00A7017C">
        <w:t>Exceptions to Ornge's compliance with the expense claims directive issued under</w:t>
      </w:r>
      <w:r w:rsidR="005527C3">
        <w:t xml:space="preserve"> </w:t>
      </w:r>
      <w:r w:rsidRPr="00A7017C">
        <w:t>section 10 of the BPSAA by the Management Board of Cabinet.</w:t>
      </w:r>
      <w:r w:rsidR="005527C3">
        <w:t xml:space="preserve"> </w:t>
      </w:r>
    </w:p>
    <w:p w:rsidR="005527C3" w:rsidRPr="005527C3" w:rsidRDefault="005527C3" w:rsidP="005527C3">
      <w:pPr>
        <w:pStyle w:val="ListParagraph"/>
        <w:spacing w:before="120" w:after="120"/>
        <w:rPr>
          <w:b/>
        </w:rPr>
      </w:pPr>
      <w:r w:rsidRPr="005527C3">
        <w:rPr>
          <w:b/>
        </w:rPr>
        <w:t>No known exceptions</w:t>
      </w:r>
    </w:p>
    <w:p w:rsidR="005527C3" w:rsidRDefault="005527C3" w:rsidP="005527C3">
      <w:pPr>
        <w:pStyle w:val="ListParagraph"/>
        <w:spacing w:before="120" w:after="120"/>
      </w:pPr>
    </w:p>
    <w:p w:rsidR="005527C3" w:rsidRDefault="00A7017C" w:rsidP="005527C3">
      <w:pPr>
        <w:pStyle w:val="ListParagraph"/>
        <w:numPr>
          <w:ilvl w:val="0"/>
          <w:numId w:val="2"/>
        </w:numPr>
        <w:spacing w:before="120" w:after="120"/>
        <w:ind w:left="284" w:hanging="284"/>
      </w:pPr>
      <w:r w:rsidRPr="00A7017C">
        <w:t>Exceptions to Ornge's compliance with the perquisites directive issued under section</w:t>
      </w:r>
      <w:r w:rsidR="005527C3">
        <w:t xml:space="preserve"> 11</w:t>
      </w:r>
      <w:r w:rsidRPr="00A7017C">
        <w:t>.1 of the BPSAA by the Management Board of Cabinet.</w:t>
      </w:r>
    </w:p>
    <w:p w:rsidR="005527C3" w:rsidRPr="005527C3" w:rsidRDefault="005527C3" w:rsidP="005527C3">
      <w:pPr>
        <w:pStyle w:val="ListParagraph"/>
        <w:spacing w:before="120" w:after="120"/>
        <w:rPr>
          <w:b/>
        </w:rPr>
      </w:pPr>
      <w:r w:rsidRPr="005527C3">
        <w:rPr>
          <w:b/>
        </w:rPr>
        <w:t>No known exceptions</w:t>
      </w:r>
    </w:p>
    <w:p w:rsidR="005527C3" w:rsidRDefault="005527C3" w:rsidP="005527C3">
      <w:pPr>
        <w:pStyle w:val="ListParagraph"/>
        <w:spacing w:before="120" w:after="120"/>
      </w:pPr>
    </w:p>
    <w:p w:rsidR="00A7017C" w:rsidRDefault="00A7017C" w:rsidP="005527C3">
      <w:pPr>
        <w:pStyle w:val="ListParagraph"/>
        <w:numPr>
          <w:ilvl w:val="0"/>
          <w:numId w:val="2"/>
        </w:numPr>
        <w:spacing w:before="120" w:after="120"/>
        <w:ind w:left="284" w:hanging="284"/>
      </w:pPr>
      <w:r w:rsidRPr="00A7017C">
        <w:t>Exceptions to Ornge's compliance with the procurement directive issued under</w:t>
      </w:r>
      <w:r w:rsidR="005527C3">
        <w:t xml:space="preserve"> </w:t>
      </w:r>
      <w:r w:rsidRPr="00A7017C">
        <w:t>section 12 of the BPSAA by the Management Board of Cabinet.</w:t>
      </w:r>
    </w:p>
    <w:p w:rsidR="005527C3" w:rsidRPr="00705655" w:rsidRDefault="005527C3" w:rsidP="005527C3">
      <w:pPr>
        <w:ind w:left="720"/>
        <w:rPr>
          <w:b/>
          <w:u w:val="single"/>
          <w:lang w:val="en-US"/>
        </w:rPr>
      </w:pPr>
      <w:r w:rsidRPr="00705655">
        <w:rPr>
          <w:b/>
          <w:u w:val="single"/>
          <w:lang w:val="en-US"/>
        </w:rPr>
        <w:t>Directive #15: Executing the Contract</w:t>
      </w:r>
    </w:p>
    <w:p w:rsidR="005527C3" w:rsidRPr="00181C0F" w:rsidRDefault="005527C3" w:rsidP="005527C3">
      <w:pPr>
        <w:ind w:left="720"/>
      </w:pPr>
      <w:r w:rsidRPr="00181C0F">
        <w:t xml:space="preserve">The agreement between the Organization and the successful supplier must be formally defined in a signed written contract before the provision of supplying goods or services commences. </w:t>
      </w:r>
    </w:p>
    <w:p w:rsidR="005527C3" w:rsidRPr="00181C0F" w:rsidRDefault="000E5A5C" w:rsidP="005527C3">
      <w:pPr>
        <w:ind w:left="720"/>
        <w:rPr>
          <w:lang w:val="en-US"/>
        </w:rPr>
      </w:pPr>
      <w:r>
        <w:rPr>
          <w:b/>
          <w:i/>
          <w:lang w:val="en-US"/>
        </w:rPr>
        <w:t>Comment</w:t>
      </w:r>
      <w:r w:rsidR="005527C3" w:rsidRPr="00181C0F">
        <w:rPr>
          <w:b/>
          <w:i/>
          <w:lang w:val="en-US"/>
        </w:rPr>
        <w:t>:</w:t>
      </w:r>
      <w:r w:rsidR="005527C3" w:rsidRPr="00181C0F">
        <w:rPr>
          <w:lang w:val="en-US"/>
        </w:rPr>
        <w:t xml:space="preserve">  Ornge has identified certain contracts that were signed after the provision of supplying goods or services commenced.</w:t>
      </w:r>
      <w:r w:rsidR="00181C0F">
        <w:rPr>
          <w:lang w:val="en-US"/>
        </w:rPr>
        <w:t xml:space="preserve">  Where a contract is pending, the purchase order terms and conditions govern the contract.</w:t>
      </w:r>
    </w:p>
    <w:p w:rsidR="005527C3" w:rsidRPr="00181C0F" w:rsidRDefault="005527C3" w:rsidP="005527C3">
      <w:pPr>
        <w:ind w:left="720"/>
      </w:pPr>
      <w:r w:rsidRPr="00181C0F">
        <w:rPr>
          <w:b/>
          <w:i/>
          <w:lang w:val="en-US"/>
        </w:rPr>
        <w:t>Actions/Action Plan:</w:t>
      </w:r>
      <w:r w:rsidRPr="00181C0F">
        <w:rPr>
          <w:lang w:val="en-US"/>
        </w:rPr>
        <w:t xml:space="preserve"> </w:t>
      </w:r>
      <w:r w:rsidR="00181C0F">
        <w:rPr>
          <w:lang w:val="en-US"/>
        </w:rPr>
        <w:t xml:space="preserve"> Ornge continues </w:t>
      </w:r>
      <w:r w:rsidR="00181C0F">
        <w:t xml:space="preserve">education and awareness of contract approval process, including ensuring contract is </w:t>
      </w:r>
      <w:r w:rsidRPr="00181C0F">
        <w:t xml:space="preserve">signed in accordance with our signing authority matrix, refreshed instructions to those with signing authority, </w:t>
      </w:r>
      <w:r w:rsidR="007D4162">
        <w:t xml:space="preserve">and continued </w:t>
      </w:r>
      <w:r w:rsidRPr="00181C0F">
        <w:t xml:space="preserve">oversight </w:t>
      </w:r>
      <w:r w:rsidR="00705655">
        <w:t xml:space="preserve">and coordination between the business units and </w:t>
      </w:r>
      <w:r w:rsidRPr="00181C0F">
        <w:t>our procurement and finance departments.</w:t>
      </w:r>
    </w:p>
    <w:p w:rsidR="00705655" w:rsidRPr="00705655" w:rsidRDefault="00705655" w:rsidP="00705655">
      <w:pPr>
        <w:ind w:left="720"/>
        <w:rPr>
          <w:b/>
          <w:u w:val="single"/>
          <w:lang w:val="en-US"/>
        </w:rPr>
      </w:pPr>
      <w:r w:rsidRPr="00705655">
        <w:rPr>
          <w:b/>
          <w:u w:val="single"/>
          <w:lang w:val="en-US"/>
        </w:rPr>
        <w:t>Directive #16: Establishing the Contract</w:t>
      </w:r>
    </w:p>
    <w:p w:rsidR="00705655" w:rsidRPr="00181C0F" w:rsidRDefault="00705655" w:rsidP="00705655">
      <w:pPr>
        <w:ind w:left="720"/>
      </w:pPr>
      <w:r>
        <w:t>Excerpt:  In circumstances where an alternative procurement strategy has been used (i.e., a form of agreement was not released with the procurement document), the agreement between the Organization and the successful supplier must be defined formally in a signed written contract before the provision of supplying goods or services commences.</w:t>
      </w:r>
    </w:p>
    <w:p w:rsidR="00705655" w:rsidRDefault="000E5A5C">
      <w:pPr>
        <w:ind w:left="720"/>
        <w:rPr>
          <w:lang w:val="en-US"/>
        </w:rPr>
      </w:pPr>
      <w:r>
        <w:rPr>
          <w:b/>
          <w:i/>
          <w:lang w:val="en-US"/>
        </w:rPr>
        <w:t>Comment</w:t>
      </w:r>
      <w:r w:rsidR="00705655" w:rsidRPr="00181C0F">
        <w:rPr>
          <w:b/>
          <w:i/>
          <w:lang w:val="en-US"/>
        </w:rPr>
        <w:t>:</w:t>
      </w:r>
      <w:r w:rsidR="00705655" w:rsidRPr="00181C0F">
        <w:rPr>
          <w:lang w:val="en-US"/>
        </w:rPr>
        <w:t xml:space="preserve"> </w:t>
      </w:r>
      <w:r w:rsidR="00705655">
        <w:rPr>
          <w:lang w:val="en-US"/>
        </w:rPr>
        <w:t xml:space="preserve"> </w:t>
      </w:r>
      <w:r w:rsidR="007D4162">
        <w:rPr>
          <w:lang w:val="en-US"/>
        </w:rPr>
        <w:t xml:space="preserve">See </w:t>
      </w:r>
      <w:r w:rsidR="00705655">
        <w:rPr>
          <w:lang w:val="en-US"/>
        </w:rPr>
        <w:t xml:space="preserve">Directive #15 </w:t>
      </w:r>
      <w:r w:rsidR="007D4162">
        <w:rPr>
          <w:lang w:val="en-US"/>
        </w:rPr>
        <w:t xml:space="preserve">comment </w:t>
      </w:r>
      <w:r w:rsidR="00705655">
        <w:rPr>
          <w:lang w:val="en-US"/>
        </w:rPr>
        <w:t>above</w:t>
      </w:r>
      <w:r w:rsidR="007D4162">
        <w:rPr>
          <w:lang w:val="en-US"/>
        </w:rPr>
        <w:t>.</w:t>
      </w:r>
      <w:bookmarkStart w:id="0" w:name="_GoBack"/>
      <w:bookmarkEnd w:id="0"/>
    </w:p>
    <w:sectPr w:rsidR="00705655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69" w:rsidRDefault="00E27869" w:rsidP="004F5222">
      <w:pPr>
        <w:spacing w:after="0" w:line="240" w:lineRule="auto"/>
      </w:pPr>
      <w:r>
        <w:separator/>
      </w:r>
    </w:p>
  </w:endnote>
  <w:endnote w:type="continuationSeparator" w:id="0">
    <w:p w:rsidR="00E27869" w:rsidRDefault="00E27869" w:rsidP="004F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69" w:rsidRDefault="00E27869" w:rsidP="004F5222">
      <w:pPr>
        <w:spacing w:after="0" w:line="240" w:lineRule="auto"/>
      </w:pPr>
      <w:r>
        <w:separator/>
      </w:r>
    </w:p>
  </w:footnote>
  <w:footnote w:type="continuationSeparator" w:id="0">
    <w:p w:rsidR="00E27869" w:rsidRDefault="00E27869" w:rsidP="004F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22" w:rsidRDefault="004F52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B99"/>
    <w:multiLevelType w:val="hybridMultilevel"/>
    <w:tmpl w:val="BD504B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03771"/>
    <w:multiLevelType w:val="hybridMultilevel"/>
    <w:tmpl w:val="679C3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7C"/>
    <w:rsid w:val="000925BC"/>
    <w:rsid w:val="00095155"/>
    <w:rsid w:val="000A1849"/>
    <w:rsid w:val="000A59F6"/>
    <w:rsid w:val="000B4FC4"/>
    <w:rsid w:val="000E5A5C"/>
    <w:rsid w:val="0010521B"/>
    <w:rsid w:val="00181C0F"/>
    <w:rsid w:val="00284740"/>
    <w:rsid w:val="00290F47"/>
    <w:rsid w:val="002A1024"/>
    <w:rsid w:val="002F2033"/>
    <w:rsid w:val="00306762"/>
    <w:rsid w:val="003F1C0D"/>
    <w:rsid w:val="00447DD0"/>
    <w:rsid w:val="00470037"/>
    <w:rsid w:val="0048675A"/>
    <w:rsid w:val="004F036F"/>
    <w:rsid w:val="004F5222"/>
    <w:rsid w:val="005527C3"/>
    <w:rsid w:val="00557CA2"/>
    <w:rsid w:val="00573A26"/>
    <w:rsid w:val="005F6A4E"/>
    <w:rsid w:val="00614F17"/>
    <w:rsid w:val="006270BF"/>
    <w:rsid w:val="00705655"/>
    <w:rsid w:val="00707813"/>
    <w:rsid w:val="007B7236"/>
    <w:rsid w:val="007D4162"/>
    <w:rsid w:val="00830249"/>
    <w:rsid w:val="00877642"/>
    <w:rsid w:val="008D368A"/>
    <w:rsid w:val="008D513C"/>
    <w:rsid w:val="008E73F6"/>
    <w:rsid w:val="009214E8"/>
    <w:rsid w:val="00A7017C"/>
    <w:rsid w:val="00AB2234"/>
    <w:rsid w:val="00B12A3B"/>
    <w:rsid w:val="00BA3C87"/>
    <w:rsid w:val="00C444EA"/>
    <w:rsid w:val="00C8123A"/>
    <w:rsid w:val="00CE0AF1"/>
    <w:rsid w:val="00D1660F"/>
    <w:rsid w:val="00D2254D"/>
    <w:rsid w:val="00DF7998"/>
    <w:rsid w:val="00E27869"/>
    <w:rsid w:val="00E31325"/>
    <w:rsid w:val="00EA1EE8"/>
    <w:rsid w:val="00EF04F7"/>
    <w:rsid w:val="00F41CF5"/>
    <w:rsid w:val="00F9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Arial"/>
        <w:color w:val="000000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222"/>
  </w:style>
  <w:style w:type="paragraph" w:styleId="Footer">
    <w:name w:val="footer"/>
    <w:basedOn w:val="Normal"/>
    <w:link w:val="FooterChar"/>
    <w:uiPriority w:val="99"/>
    <w:unhideWhenUsed/>
    <w:rsid w:val="004F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222"/>
  </w:style>
  <w:style w:type="paragraph" w:styleId="BalloonText">
    <w:name w:val="Balloon Text"/>
    <w:basedOn w:val="Normal"/>
    <w:link w:val="BalloonTextChar"/>
    <w:uiPriority w:val="99"/>
    <w:semiHidden/>
    <w:unhideWhenUsed/>
    <w:rsid w:val="007D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Arial"/>
        <w:color w:val="000000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222"/>
  </w:style>
  <w:style w:type="paragraph" w:styleId="Footer">
    <w:name w:val="footer"/>
    <w:basedOn w:val="Normal"/>
    <w:link w:val="FooterChar"/>
    <w:uiPriority w:val="99"/>
    <w:unhideWhenUsed/>
    <w:rsid w:val="004F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222"/>
  </w:style>
  <w:style w:type="paragraph" w:styleId="BalloonText">
    <w:name w:val="Balloon Text"/>
    <w:basedOn w:val="Normal"/>
    <w:link w:val="BalloonTextChar"/>
    <w:uiPriority w:val="99"/>
    <w:semiHidden/>
    <w:unhideWhenUsed/>
    <w:rsid w:val="007D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0FC0-0FE3-44E3-8A0F-70EDC211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537</Words>
  <Characters>2924</Characters>
  <Application>Microsoft Office Word</Application>
  <DocSecurity>0</DocSecurity>
  <Lines>76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Kennedy</dc:creator>
  <cp:lastModifiedBy>Rachel Scott</cp:lastModifiedBy>
  <cp:revision>6</cp:revision>
  <cp:lastPrinted>2016-06-06T20:27:00Z</cp:lastPrinted>
  <dcterms:created xsi:type="dcterms:W3CDTF">2017-07-11T19:41:00Z</dcterms:created>
  <dcterms:modified xsi:type="dcterms:W3CDTF">2017-07-11T20:22:00Z</dcterms:modified>
</cp:coreProperties>
</file>